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ascii="仿宋" w:hAnsi="仿宋" w:eastAsia="仿宋"/>
        </w:rPr>
      </w:pPr>
      <w:r>
        <w:rPr>
          <w:rFonts w:hint="eastAsia" w:ascii="仿宋" w:hAnsi="仿宋" w:eastAsia="仿宋"/>
        </w:rPr>
        <w:t>鄂教师函〔2016〕6号</w:t>
      </w:r>
    </w:p>
    <w:p>
      <w:pPr>
        <w:spacing w:line="600" w:lineRule="exact"/>
        <w:rPr>
          <w:rFonts w:ascii="华文中宋" w:hAnsi="华文中宋" w:eastAsia="华文中宋"/>
          <w:b/>
          <w:sz w:val="44"/>
          <w:szCs w:val="44"/>
        </w:rPr>
      </w:pPr>
    </w:p>
    <w:p>
      <w:pPr>
        <w:pStyle w:val="2"/>
        <w:widowControl/>
        <w:spacing w:before="0" w:after="0" w:line="600" w:lineRule="exact"/>
        <w:jc w:val="center"/>
        <w:rPr>
          <w:rFonts w:hint="eastAsia" w:ascii="方正小标宋简体" w:hAnsi="Calibri" w:eastAsia="方正小标宋简体"/>
          <w:b w:val="0"/>
          <w:sz w:val="44"/>
          <w:szCs w:val="44"/>
        </w:rPr>
      </w:pPr>
      <w:r>
        <w:rPr>
          <w:rFonts w:ascii="方正小标宋简体" w:hAnsi="Calibri" w:eastAsia="方正小标宋简体"/>
          <w:b w:val="0"/>
          <w:sz w:val="44"/>
          <w:szCs w:val="44"/>
        </w:rPr>
        <w:t>省教育厅关于开展2016年</w:t>
      </w:r>
    </w:p>
    <w:p>
      <w:pPr>
        <w:pStyle w:val="2"/>
        <w:widowControl/>
        <w:spacing w:before="0" w:after="0" w:line="600" w:lineRule="exact"/>
        <w:jc w:val="center"/>
        <w:rPr>
          <w:rFonts w:ascii="方正小标宋简体" w:hAnsi="Calibri" w:eastAsia="方正小标宋简体"/>
          <w:b w:val="0"/>
          <w:sz w:val="44"/>
          <w:szCs w:val="44"/>
        </w:rPr>
      </w:pPr>
      <w:r>
        <w:rPr>
          <w:rFonts w:ascii="方正小标宋简体" w:hAnsi="Calibri" w:eastAsia="方正小标宋简体"/>
          <w:b w:val="0"/>
          <w:sz w:val="44"/>
          <w:szCs w:val="44"/>
        </w:rPr>
        <w:t>“湖北产业教授”评选工作的通知</w:t>
      </w:r>
    </w:p>
    <w:p>
      <w:pPr>
        <w:spacing w:line="600" w:lineRule="exact"/>
        <w:rPr>
          <w:rFonts w:hint="eastAsia" w:ascii="仿宋_GB2312" w:hAnsi="仿宋_GB2312" w:cs="仿宋_GB2312"/>
          <w:color w:val="000000"/>
          <w:kern w:val="0"/>
          <w:szCs w:val="32"/>
          <w:shd w:val="clear" w:color="auto" w:fill="FFFFFF"/>
        </w:rPr>
      </w:pPr>
      <w:r>
        <w:rPr>
          <w:rFonts w:hint="eastAsia" w:ascii="仿宋_GB2312" w:hAnsi="仿宋_GB2312" w:cs="仿宋_GB2312"/>
          <w:color w:val="000000"/>
          <w:kern w:val="0"/>
          <w:szCs w:val="32"/>
          <w:shd w:val="clear" w:color="auto" w:fill="FFFFFF"/>
        </w:rPr>
        <w:t xml:space="preserve"> </w:t>
      </w:r>
    </w:p>
    <w:p>
      <w:pPr>
        <w:spacing w:line="540" w:lineRule="exact"/>
        <w:rPr>
          <w:rFonts w:hint="eastAsia"/>
        </w:rPr>
      </w:pPr>
      <w:r>
        <w:rPr>
          <w:rFonts w:hint="eastAsia" w:ascii="仿宋_GB2312" w:hAnsi="仿宋_GB2312" w:cs="仿宋_GB2312"/>
          <w:color w:val="000000"/>
          <w:kern w:val="0"/>
          <w:szCs w:val="32"/>
          <w:shd w:val="clear" w:color="auto" w:fill="FFFFFF"/>
        </w:rPr>
        <w:t>有关高等学校：</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为大力实施人才强省战略，更好地推进产学研用合作，探索高校与企业联合培养人才和科技攻关的新机制，经研究，决定开展2016年“湖北产业教授”评选工作。现将有关事项通知如下：</w:t>
      </w:r>
    </w:p>
    <w:p>
      <w:pPr>
        <w:pStyle w:val="12"/>
        <w:spacing w:before="0" w:beforeAutospacing="0" w:after="0" w:afterAutospacing="0" w:line="540" w:lineRule="exact"/>
        <w:ind w:firstLine="632" w:firstLineChars="200"/>
        <w:jc w:val="both"/>
        <w:rPr>
          <w:rFonts w:hint="eastAsia"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一、工作目标</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从省内企业选聘20名科技型企业家，到具有硕士及以上学位授予权的普通本科高校，担任湖北产业教授，推动企业与高校共建各类研发载体、开展科技项目合作、联合培养研究生、本科生。产业教授实行聘任制，按需设岗、公开选聘、择优聘任、合同管理，聘期三年。</w:t>
      </w:r>
    </w:p>
    <w:p>
      <w:pPr>
        <w:pStyle w:val="12"/>
        <w:spacing w:before="0" w:beforeAutospacing="0" w:after="0" w:afterAutospacing="0" w:line="540" w:lineRule="exact"/>
        <w:ind w:firstLine="632" w:firstLineChars="200"/>
        <w:jc w:val="both"/>
        <w:rPr>
          <w:rFonts w:hint="eastAsia"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二、工作职责</w:t>
      </w:r>
    </w:p>
    <w:p>
      <w:pPr>
        <w:pStyle w:val="12"/>
        <w:spacing w:before="0" w:beforeAutospacing="0" w:after="0" w:afterAutospacing="0" w:line="540" w:lineRule="exact"/>
        <w:ind w:firstLine="634" w:firstLineChars="200"/>
        <w:jc w:val="both"/>
        <w:rPr>
          <w:rFonts w:hint="eastAsia" w:ascii="仿宋_GB2312" w:hAnsi="仿宋_GB2312" w:eastAsia="仿宋_GB2312" w:cs="仿宋_GB2312"/>
          <w:sz w:val="32"/>
          <w:szCs w:val="32"/>
        </w:rPr>
      </w:pPr>
      <w:r>
        <w:rPr>
          <w:rStyle w:val="14"/>
          <w:rFonts w:hint="eastAsia" w:ascii="仿宋_GB2312" w:hAnsi="仿宋_GB2312" w:eastAsia="仿宋_GB2312" w:cs="仿宋_GB2312"/>
          <w:color w:val="000000"/>
          <w:sz w:val="32"/>
          <w:szCs w:val="32"/>
          <w:shd w:val="clear" w:color="auto" w:fill="FFFFFF"/>
        </w:rPr>
        <w:t>（一）产业教授职责</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1.推动所在企业与高校共建企业院士工作站、博士后科研工作站、企业研究生工作站、工程技术研究中心等技术研发平台和产业技术创新战略联盟。</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2.推动所在企业与高校联合开展科研项目研究。所在企业可专门设立科研项目，委托或协同高校进行科技攻关；推动所在企业与高校联合申报国家和省级科研项目。</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3.推动所在企业承担高校科研成果中试放大和产业化基地建设，积极转化高科技创新成果。</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4.参与高校学科团队建设，对提升学科水平和支撑、引领产业发展提出战略性、前瞻性、创造性构想。</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5.参与指导研究生，为高校举办专题讲座；推动所在企业成为教学和实习基地，创造条件吸纳高校毕业生就业。</w:t>
      </w:r>
    </w:p>
    <w:p>
      <w:pPr>
        <w:pStyle w:val="12"/>
        <w:spacing w:before="0" w:beforeAutospacing="0" w:after="0" w:afterAutospacing="0" w:line="540" w:lineRule="exact"/>
        <w:ind w:firstLine="634" w:firstLineChars="200"/>
        <w:jc w:val="both"/>
        <w:rPr>
          <w:rFonts w:hint="eastAsia" w:ascii="仿宋_GB2312" w:hAnsi="仿宋_GB2312" w:eastAsia="仿宋_GB2312" w:cs="仿宋_GB2312"/>
          <w:sz w:val="32"/>
          <w:szCs w:val="32"/>
        </w:rPr>
      </w:pPr>
      <w:r>
        <w:rPr>
          <w:rStyle w:val="14"/>
          <w:rFonts w:hint="eastAsia" w:ascii="仿宋_GB2312" w:hAnsi="仿宋_GB2312" w:eastAsia="仿宋_GB2312" w:cs="仿宋_GB2312"/>
          <w:color w:val="000000"/>
          <w:sz w:val="32"/>
          <w:szCs w:val="32"/>
          <w:shd w:val="clear" w:color="auto" w:fill="FFFFFF"/>
        </w:rPr>
        <w:t>（二）聘任高校职责</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1.积极争取与湖北产业教授所在企业合作共建“协同创新中心”，提升高校人才、学科、科研三位一体的创新能力。鼓励高校围绕产业链创新发展的各个环节，与企业加强深度合作。</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2.与湖北产业教授所在企业共建各类研发机构，引导和鼓励本校科研人员到企业创新创业。</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3.与湖北产业教授所在企业合作开展科研项目攻关，并为其到校工作提供科研条件。与湖北产业教授所在企业联合申报国家和省级科研项目。</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4.优先向湖北产业教授所在企业转化先进科技成果。</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5.推行产学研联合培养研究生的“双导师制”，安排湖北产业教授参与本校研究生、本科生指导工作，并为其提供教学条件。为其所在企业员工技术培训、继续教育等提供支持。推荐优秀毕业生到其所在企业工作。</w:t>
      </w:r>
    </w:p>
    <w:p>
      <w:pPr>
        <w:pStyle w:val="12"/>
        <w:spacing w:before="0" w:beforeAutospacing="0" w:after="0" w:afterAutospacing="0" w:line="540" w:lineRule="exact"/>
        <w:ind w:firstLine="632" w:firstLineChars="200"/>
        <w:jc w:val="both"/>
        <w:rPr>
          <w:rFonts w:hint="eastAsia"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三、聘任条件</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担任湖北产业教授的科技型企业家，应具备下列条件：</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1.应具有良好的思想政治素质，遵守宪法和法律法规，贯彻党和国家教育方针，具有本科及以上学位，具有高级职称，年龄不超过55周岁。</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2.科学道德高尚，学风严谨，富于合作精神。</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3.中央“千人计划”、“万人计划”、湖北省“百人计划”、武汉市“黄鹤英才计划”、东湖高新区“3551”计划等重点人才工程项目人选。</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4.企业建有省级以上研发平台、有自主知识产权的产品并具有一定的销售规模和效益，主持或参与过省级以上科研项目的企业负责人。</w:t>
      </w:r>
    </w:p>
    <w:p>
      <w:pPr>
        <w:pStyle w:val="12"/>
        <w:spacing w:before="0" w:beforeAutospacing="0" w:after="0" w:afterAutospacing="0" w:line="540" w:lineRule="exact"/>
        <w:ind w:firstLine="632" w:firstLineChars="200"/>
        <w:jc w:val="both"/>
        <w:rPr>
          <w:rFonts w:hint="eastAsia"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四、选聘程序</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1.省教育厅下达湖北产业教授聘任指标。有关高校根据实际情况，自主确定湖北产业教授岗位。</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 xml:space="preserve"> 2.省教育厅受理“湖北产业教授”拟聘任人员推荐申请。同一人选只能由1所学校推荐申报。</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3.省教育厅组织专家对学校推荐的人选进行审核，对通过审核的拟聘人选名单公示一周，经公示无异议后由省委组织部、省教育厅发文公布。</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4.高校与湖北产业教授签订聘任合同，明确双方的责任和义务。聘任期满，经聘任高校考核合格的，可申请续聘，最长续聘期不超过三年。</w:t>
      </w:r>
    </w:p>
    <w:p>
      <w:pPr>
        <w:pStyle w:val="12"/>
        <w:spacing w:before="0" w:beforeAutospacing="0" w:after="0" w:afterAutospacing="0" w:line="540" w:lineRule="exact"/>
        <w:ind w:firstLine="632" w:firstLineChars="200"/>
        <w:jc w:val="both"/>
        <w:rPr>
          <w:rFonts w:hint="eastAsia"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五、支持措施</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1省委组织部、省教育厅颁发“湖北产业教授”证书。</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2.在三年聘期内给予10万元经费资助。</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3.省教育厅、省科技厅对湖北产业教授与聘任高校联合申报的科技项目和研发载体，在同等条件下予以优先立项。</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4.省教育厅对湖北产业教授项目实施效果明显的高校，在申报“楚天学者计划”等项目时，在同等条件下优先。</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5. 省委人才工作领导小组办公室对湖北产业教授申报省“123”企业家培育计划”、“科技创业领军人才培育计划”培养对象，在同等条件下予以优先。</w:t>
      </w:r>
    </w:p>
    <w:p>
      <w:pPr>
        <w:pStyle w:val="12"/>
        <w:spacing w:before="0" w:beforeAutospacing="0" w:after="0" w:afterAutospacing="0" w:line="540" w:lineRule="exact"/>
        <w:ind w:firstLine="632" w:firstLineChars="200"/>
        <w:jc w:val="both"/>
        <w:rPr>
          <w:rFonts w:hint="eastAsia"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六、考核管理</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湖北产业教授实行聘期目标管理和考核评估制度。考核内容包括岗位职责履行情况和工作任务完成情况等。具体考核工作由聘任学校负责。学校每年考核工作结束后30日内将其实际在岗履职情况和考核结果向省教育厅报告备案。</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2.对不能履行岗位职责的湖北产业教授，经省教育厅同意，由高校解除聘任合同。对不能履行职责的高校，不再安排湖北产业教授聘任指标。</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3.聘期结束时，省委组织部、省教育厅对履行岗位职责取得突出成绩的湖北产业教授予以表彰。</w:t>
      </w:r>
    </w:p>
    <w:p>
      <w:pPr>
        <w:pStyle w:val="12"/>
        <w:spacing w:before="0" w:beforeAutospacing="0" w:after="0" w:afterAutospacing="0" w:line="540" w:lineRule="exact"/>
        <w:ind w:firstLine="632" w:firstLineChars="200"/>
        <w:jc w:val="both"/>
        <w:rPr>
          <w:rFonts w:hint="eastAsia"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七、申报安排</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各高校于9月1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日将产业教授人选申报材料报省教育厅教师管理处。联系人：余彪，联系电话：87328142、15717180396，邮箱：</w:t>
      </w:r>
      <w:r>
        <w:fldChar w:fldCharType="begin"/>
      </w:r>
      <w:r>
        <w:instrText xml:space="preserve"> HYPERLINK "mailto:jsglc1509(at)163.com" \t "http://www.hbe.gov.cn/_blank" </w:instrText>
      </w:r>
      <w:r>
        <w:fldChar w:fldCharType="separate"/>
      </w:r>
      <w:r>
        <w:rPr>
          <w:rFonts w:hint="eastAsia" w:ascii="仿宋_GB2312" w:eastAsia="仿宋_GB2312"/>
          <w:sz w:val="32"/>
          <w:szCs w:val="32"/>
        </w:rPr>
        <w:t>jsglc1509(at)163.com</w:t>
      </w:r>
      <w:r>
        <w:rPr>
          <w:rFonts w:hint="eastAsia" w:ascii="仿宋_GB2312" w:eastAsia="仿宋_GB2312"/>
          <w:sz w:val="32"/>
          <w:szCs w:val="32"/>
        </w:rPr>
        <w:fldChar w:fldCharType="end"/>
      </w:r>
      <w:r>
        <w:rPr>
          <w:rFonts w:hint="eastAsia" w:ascii="仿宋_GB2312" w:hAnsi="仿宋_GB2312" w:eastAsia="仿宋_GB2312" w:cs="仿宋_GB2312"/>
          <w:color w:val="000000"/>
          <w:sz w:val="32"/>
          <w:szCs w:val="32"/>
          <w:shd w:val="clear" w:color="auto" w:fill="FFFFFF"/>
        </w:rPr>
        <w:t>。</w:t>
      </w:r>
    </w:p>
    <w:p>
      <w:pPr>
        <w:pStyle w:val="12"/>
        <w:spacing w:before="0" w:beforeAutospacing="0" w:after="0" w:afterAutospacing="0" w:line="540" w:lineRule="exact"/>
        <w:ind w:firstLine="632" w:firstLineChars="200"/>
        <w:jc w:val="both"/>
        <w:rPr>
          <w:rFonts w:hint="eastAsia" w:ascii="仿宋_GB2312" w:hAnsi="仿宋_GB2312" w:eastAsia="仿宋_GB2312" w:cs="仿宋_GB2312"/>
          <w:color w:val="000000"/>
          <w:sz w:val="32"/>
          <w:szCs w:val="32"/>
          <w:shd w:val="clear" w:color="auto" w:fill="FFFFFF"/>
        </w:rPr>
      </w:pPr>
    </w:p>
    <w:p>
      <w:pPr>
        <w:rPr>
          <w:rFonts w:hint="eastAsia" w:ascii="仿宋_GB2312" w:hAnsi="仿宋_GB2312" w:cs="仿宋_GB2312"/>
          <w:szCs w:val="32"/>
        </w:rPr>
      </w:pPr>
    </w:p>
    <w:p>
      <w:pPr>
        <w:spacing w:line="600" w:lineRule="exact"/>
        <w:rPr>
          <w:rFonts w:ascii="宋体" w:hAnsi="宋体"/>
          <w:color w:val="000000"/>
          <w:kern w:val="0"/>
          <w:sz w:val="24"/>
        </w:rPr>
      </w:pPr>
      <w:bookmarkStart w:id="0" w:name="_GoBack"/>
      <w:bookmarkEnd w:id="0"/>
    </w:p>
    <w:sectPr>
      <w:headerReference r:id="rId3" w:type="default"/>
      <w:footerReference r:id="rId4" w:type="default"/>
      <w:footerReference r:id="rId5" w:type="even"/>
      <w:pgSz w:w="11906" w:h="16838"/>
      <w:pgMar w:top="1928" w:right="1588" w:bottom="1531" w:left="1588" w:header="851" w:footer="1247" w:gutter="0"/>
      <w:cols w:space="425" w:num="1"/>
      <w:titlePg/>
      <w:docGrid w:type="linesAndChars" w:linePitch="60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sz w:val="28"/>
      </w:rPr>
    </w:pPr>
    <w:r>
      <w:rPr>
        <w:rStyle w:val="15"/>
        <w:rFonts w:hint="eastAsia"/>
        <w:sz w:val="28"/>
      </w:rPr>
      <w:t xml:space="preserve">— </w:t>
    </w:r>
    <w:r>
      <w:rPr>
        <w:rStyle w:val="15"/>
        <w:sz w:val="28"/>
      </w:rPr>
      <w:fldChar w:fldCharType="begin"/>
    </w:r>
    <w:r>
      <w:rPr>
        <w:rStyle w:val="15"/>
        <w:sz w:val="28"/>
      </w:rPr>
      <w:instrText xml:space="preserve">PAGE  </w:instrText>
    </w:r>
    <w:r>
      <w:rPr>
        <w:rStyle w:val="15"/>
        <w:sz w:val="28"/>
      </w:rPr>
      <w:fldChar w:fldCharType="separate"/>
    </w:r>
    <w:r>
      <w:rPr>
        <w:rStyle w:val="15"/>
        <w:sz w:val="28"/>
      </w:rPr>
      <w:t>2</w:t>
    </w:r>
    <w:r>
      <w:rPr>
        <w:rStyle w:val="15"/>
        <w:sz w:val="28"/>
      </w:rPr>
      <w:fldChar w:fldCharType="end"/>
    </w:r>
    <w:r>
      <w:rPr>
        <w:rStyle w:val="15"/>
        <w:rFonts w:hint="eastAsia"/>
        <w:sz w:val="28"/>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drawingGridHorizontalSpacing w:val="315"/>
  <w:drawingGridVerticalSpacing w:val="304"/>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2603B6"/>
    <w:rsid w:val="00001CA5"/>
    <w:rsid w:val="00010620"/>
    <w:rsid w:val="000150BE"/>
    <w:rsid w:val="000270A4"/>
    <w:rsid w:val="000346DC"/>
    <w:rsid w:val="0004676A"/>
    <w:rsid w:val="000474FF"/>
    <w:rsid w:val="00051195"/>
    <w:rsid w:val="00054E15"/>
    <w:rsid w:val="00061274"/>
    <w:rsid w:val="00061502"/>
    <w:rsid w:val="0008266C"/>
    <w:rsid w:val="00094339"/>
    <w:rsid w:val="000B411A"/>
    <w:rsid w:val="000C351F"/>
    <w:rsid w:val="000E65C5"/>
    <w:rsid w:val="000E7BB2"/>
    <w:rsid w:val="00100285"/>
    <w:rsid w:val="00101D02"/>
    <w:rsid w:val="00105D61"/>
    <w:rsid w:val="00106DD8"/>
    <w:rsid w:val="001103F0"/>
    <w:rsid w:val="0013516F"/>
    <w:rsid w:val="001358D7"/>
    <w:rsid w:val="00146515"/>
    <w:rsid w:val="00147B93"/>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244F7D"/>
    <w:rsid w:val="00246D14"/>
    <w:rsid w:val="00254632"/>
    <w:rsid w:val="002603B6"/>
    <w:rsid w:val="00274A95"/>
    <w:rsid w:val="00282D28"/>
    <w:rsid w:val="00285302"/>
    <w:rsid w:val="0029161B"/>
    <w:rsid w:val="002C592D"/>
    <w:rsid w:val="002D3927"/>
    <w:rsid w:val="002E302D"/>
    <w:rsid w:val="002F14A7"/>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6F92"/>
    <w:rsid w:val="00392EA6"/>
    <w:rsid w:val="003B6AB4"/>
    <w:rsid w:val="003C1A22"/>
    <w:rsid w:val="003C334B"/>
    <w:rsid w:val="003D30CD"/>
    <w:rsid w:val="003E62C2"/>
    <w:rsid w:val="003E785C"/>
    <w:rsid w:val="00413AA2"/>
    <w:rsid w:val="00423E86"/>
    <w:rsid w:val="00432790"/>
    <w:rsid w:val="004356CB"/>
    <w:rsid w:val="00435A84"/>
    <w:rsid w:val="0044051E"/>
    <w:rsid w:val="00444DC1"/>
    <w:rsid w:val="00453E17"/>
    <w:rsid w:val="004647C6"/>
    <w:rsid w:val="00487732"/>
    <w:rsid w:val="004A7019"/>
    <w:rsid w:val="004B64B7"/>
    <w:rsid w:val="004C4788"/>
    <w:rsid w:val="004D1E6E"/>
    <w:rsid w:val="004D4E2E"/>
    <w:rsid w:val="004F4B8E"/>
    <w:rsid w:val="004F5E3A"/>
    <w:rsid w:val="00500303"/>
    <w:rsid w:val="0050178E"/>
    <w:rsid w:val="00511C29"/>
    <w:rsid w:val="00517708"/>
    <w:rsid w:val="005257AC"/>
    <w:rsid w:val="00526874"/>
    <w:rsid w:val="005305A4"/>
    <w:rsid w:val="00530AD7"/>
    <w:rsid w:val="00554097"/>
    <w:rsid w:val="00557ED5"/>
    <w:rsid w:val="005738B1"/>
    <w:rsid w:val="00575563"/>
    <w:rsid w:val="005A2FC7"/>
    <w:rsid w:val="005C6C7D"/>
    <w:rsid w:val="005D0C22"/>
    <w:rsid w:val="005D4B32"/>
    <w:rsid w:val="005D7E89"/>
    <w:rsid w:val="005E019A"/>
    <w:rsid w:val="005E478B"/>
    <w:rsid w:val="005E6343"/>
    <w:rsid w:val="005F3976"/>
    <w:rsid w:val="005F4339"/>
    <w:rsid w:val="00601180"/>
    <w:rsid w:val="006012F6"/>
    <w:rsid w:val="00617FDF"/>
    <w:rsid w:val="006304AC"/>
    <w:rsid w:val="0064092D"/>
    <w:rsid w:val="0064163A"/>
    <w:rsid w:val="00650C09"/>
    <w:rsid w:val="00651153"/>
    <w:rsid w:val="00655DDC"/>
    <w:rsid w:val="00662F65"/>
    <w:rsid w:val="00672215"/>
    <w:rsid w:val="00672E7B"/>
    <w:rsid w:val="00674263"/>
    <w:rsid w:val="006771C1"/>
    <w:rsid w:val="00681474"/>
    <w:rsid w:val="00693DBD"/>
    <w:rsid w:val="006A0A11"/>
    <w:rsid w:val="006A22A2"/>
    <w:rsid w:val="006A363E"/>
    <w:rsid w:val="006A60C8"/>
    <w:rsid w:val="006B175E"/>
    <w:rsid w:val="006B1969"/>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414E7"/>
    <w:rsid w:val="007A70D9"/>
    <w:rsid w:val="007B216F"/>
    <w:rsid w:val="007B67ED"/>
    <w:rsid w:val="007B72B3"/>
    <w:rsid w:val="007C5206"/>
    <w:rsid w:val="007D48B6"/>
    <w:rsid w:val="007E519E"/>
    <w:rsid w:val="007F6E15"/>
    <w:rsid w:val="00830A09"/>
    <w:rsid w:val="00837500"/>
    <w:rsid w:val="00840467"/>
    <w:rsid w:val="00841FDA"/>
    <w:rsid w:val="00846D6A"/>
    <w:rsid w:val="00850BE1"/>
    <w:rsid w:val="00860DDB"/>
    <w:rsid w:val="008623F8"/>
    <w:rsid w:val="00863487"/>
    <w:rsid w:val="00864375"/>
    <w:rsid w:val="008905C9"/>
    <w:rsid w:val="008A0874"/>
    <w:rsid w:val="008B5223"/>
    <w:rsid w:val="008D24AC"/>
    <w:rsid w:val="008D3E1A"/>
    <w:rsid w:val="008E132A"/>
    <w:rsid w:val="008E70C1"/>
    <w:rsid w:val="008F4531"/>
    <w:rsid w:val="008F4549"/>
    <w:rsid w:val="008F5C6B"/>
    <w:rsid w:val="00914369"/>
    <w:rsid w:val="009508B5"/>
    <w:rsid w:val="009531C5"/>
    <w:rsid w:val="009549CE"/>
    <w:rsid w:val="00954D49"/>
    <w:rsid w:val="00974FD8"/>
    <w:rsid w:val="0097792C"/>
    <w:rsid w:val="00977FEB"/>
    <w:rsid w:val="009A152E"/>
    <w:rsid w:val="009D43D5"/>
    <w:rsid w:val="009D69B5"/>
    <w:rsid w:val="009E1290"/>
    <w:rsid w:val="009F2C4D"/>
    <w:rsid w:val="009F38D5"/>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43776"/>
    <w:rsid w:val="00B741DC"/>
    <w:rsid w:val="00B9170B"/>
    <w:rsid w:val="00BB056A"/>
    <w:rsid w:val="00BB6C3D"/>
    <w:rsid w:val="00BD092B"/>
    <w:rsid w:val="00BD7249"/>
    <w:rsid w:val="00BD7A34"/>
    <w:rsid w:val="00BE5D73"/>
    <w:rsid w:val="00C11F56"/>
    <w:rsid w:val="00C16E12"/>
    <w:rsid w:val="00C256E6"/>
    <w:rsid w:val="00C443CE"/>
    <w:rsid w:val="00C446DE"/>
    <w:rsid w:val="00C51C7F"/>
    <w:rsid w:val="00C54881"/>
    <w:rsid w:val="00C56DFE"/>
    <w:rsid w:val="00C85153"/>
    <w:rsid w:val="00CA289B"/>
    <w:rsid w:val="00CA3F29"/>
    <w:rsid w:val="00CA4CD1"/>
    <w:rsid w:val="00CB695F"/>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631E3"/>
    <w:rsid w:val="00D63416"/>
    <w:rsid w:val="00D6519D"/>
    <w:rsid w:val="00D702C6"/>
    <w:rsid w:val="00D73389"/>
    <w:rsid w:val="00D73D28"/>
    <w:rsid w:val="00D76025"/>
    <w:rsid w:val="00D80720"/>
    <w:rsid w:val="00D81C32"/>
    <w:rsid w:val="00D87759"/>
    <w:rsid w:val="00D97C4E"/>
    <w:rsid w:val="00DA1308"/>
    <w:rsid w:val="00DA6858"/>
    <w:rsid w:val="00DB3918"/>
    <w:rsid w:val="00DB7422"/>
    <w:rsid w:val="00DC0198"/>
    <w:rsid w:val="00DC09EB"/>
    <w:rsid w:val="00DC753F"/>
    <w:rsid w:val="00DD5AAC"/>
    <w:rsid w:val="00DF33F3"/>
    <w:rsid w:val="00E13F68"/>
    <w:rsid w:val="00E36BB4"/>
    <w:rsid w:val="00E42EC0"/>
    <w:rsid w:val="00E45E36"/>
    <w:rsid w:val="00E51EA9"/>
    <w:rsid w:val="00E81D65"/>
    <w:rsid w:val="00E83EEA"/>
    <w:rsid w:val="00EB54FA"/>
    <w:rsid w:val="00EB5FD8"/>
    <w:rsid w:val="00EC6B11"/>
    <w:rsid w:val="00EE6BDA"/>
    <w:rsid w:val="00EE7D3D"/>
    <w:rsid w:val="00EF1D3F"/>
    <w:rsid w:val="00EF7F1D"/>
    <w:rsid w:val="00F13AB8"/>
    <w:rsid w:val="00F15FF2"/>
    <w:rsid w:val="00F17909"/>
    <w:rsid w:val="00F54E1E"/>
    <w:rsid w:val="00F577A0"/>
    <w:rsid w:val="00F57810"/>
    <w:rsid w:val="00F721C9"/>
    <w:rsid w:val="00F8076F"/>
    <w:rsid w:val="00F834B3"/>
    <w:rsid w:val="00F858C3"/>
    <w:rsid w:val="00F97865"/>
    <w:rsid w:val="00FA5043"/>
    <w:rsid w:val="00FA789C"/>
    <w:rsid w:val="00FB6339"/>
    <w:rsid w:val="00FB66B9"/>
    <w:rsid w:val="00FC024C"/>
    <w:rsid w:val="00FC0AD8"/>
    <w:rsid w:val="00FD110A"/>
    <w:rsid w:val="00FD3FA6"/>
    <w:rsid w:val="00FD7B09"/>
    <w:rsid w:val="00FF2ED3"/>
    <w:rsid w:val="00FF7535"/>
    <w:rsid w:val="7AD5303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link w:val="22"/>
    <w:qFormat/>
    <w:uiPriority w:val="0"/>
    <w:pPr>
      <w:keepNext/>
      <w:keepLines/>
      <w:spacing w:before="260" w:after="260" w:line="416" w:lineRule="auto"/>
      <w:outlineLvl w:val="1"/>
    </w:pPr>
    <w:rPr>
      <w:rFonts w:ascii="Arial" w:hAnsi="Arial" w:eastAsia="黑体"/>
      <w:b/>
      <w:bCs/>
      <w:szCs w:val="32"/>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rPr>
      <w:szCs w:val="24"/>
    </w:rPr>
  </w:style>
  <w:style w:type="paragraph" w:styleId="4">
    <w:name w:val="Body Text Indent"/>
    <w:basedOn w:val="1"/>
    <w:qFormat/>
    <w:uiPriority w:val="0"/>
    <w:pPr>
      <w:ind w:firstLine="600" w:firstLineChars="200"/>
    </w:pPr>
    <w:rPr>
      <w:rFonts w:eastAsia="宋体"/>
      <w:bCs/>
      <w:sz w:val="30"/>
      <w:szCs w:val="24"/>
    </w:rPr>
  </w:style>
  <w:style w:type="paragraph" w:styleId="5">
    <w:name w:val="Plain Text"/>
    <w:basedOn w:val="1"/>
    <w:uiPriority w:val="0"/>
    <w:rPr>
      <w:rFonts w:ascii="宋体" w:hAnsi="Courier New" w:eastAsia="宋体" w:cs="Courier New"/>
      <w:sz w:val="21"/>
      <w:szCs w:val="21"/>
    </w:rPr>
  </w:style>
  <w:style w:type="paragraph" w:styleId="6">
    <w:name w:val="Date"/>
    <w:basedOn w:val="1"/>
    <w:next w:val="1"/>
    <w:qFormat/>
    <w:uiPriority w:val="0"/>
    <w:rPr>
      <w:rFonts w:ascii="宋体" w:eastAsia="宋体"/>
      <w:sz w:val="28"/>
    </w:rPr>
  </w:style>
  <w:style w:type="paragraph" w:styleId="7">
    <w:name w:val="Body Text Indent 2"/>
    <w:basedOn w:val="1"/>
    <w:qFormat/>
    <w:uiPriority w:val="0"/>
    <w:pPr>
      <w:spacing w:line="500" w:lineRule="exact"/>
      <w:ind w:firstLine="560" w:firstLineChars="200"/>
      <w:outlineLvl w:val="0"/>
    </w:pPr>
    <w:rPr>
      <w:bCs/>
      <w:sz w:val="28"/>
      <w:szCs w:val="36"/>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Body Text Indent 3"/>
    <w:basedOn w:val="1"/>
    <w:uiPriority w:val="0"/>
    <w:pPr>
      <w:spacing w:line="560" w:lineRule="exact"/>
      <w:ind w:firstLine="615"/>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uiPriority w:val="0"/>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style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apple-style-span"/>
    <w:basedOn w:val="13"/>
    <w:uiPriority w:val="0"/>
  </w:style>
  <w:style w:type="paragraph" w:customStyle="1" w:styleId="21">
    <w:name w:val="Char1 Char Char Char Char Char Char Char Char Char Char Char Char Char Char Char Char Char Char"/>
    <w:basedOn w:val="1"/>
    <w:qFormat/>
    <w:uiPriority w:val="0"/>
    <w:pPr>
      <w:widowControl/>
      <w:spacing w:after="160" w:line="240" w:lineRule="exact"/>
      <w:jc w:val="left"/>
    </w:pPr>
    <w:rPr>
      <w:rFonts w:eastAsia="宋体"/>
      <w:sz w:val="21"/>
    </w:rPr>
  </w:style>
  <w:style w:type="character" w:customStyle="1" w:styleId="22">
    <w:name w:val="标题 2 Char"/>
    <w:basedOn w:val="13"/>
    <w:link w:val="2"/>
    <w:qFormat/>
    <w:uiPriority w:val="0"/>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函件</Template>
  <Company>湖北省教育厅</Company>
  <Pages>13</Pages>
  <Words>577</Words>
  <Characters>3292</Characters>
  <Lines>27</Lines>
  <Paragraphs>7</Paragraphs>
  <ScaleCrop>false</ScaleCrop>
  <LinksUpToDate>false</LinksUpToDate>
  <CharactersWithSpaces>3862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2016-07-18T02:38:00Z</dcterms:created>
  <dc:creator>邢林春</dc:creator>
  <cp:lastModifiedBy>谷木荣</cp:lastModifiedBy>
  <cp:lastPrinted>2016-07-18T02:28:00Z</cp:lastPrinted>
  <dcterms:modified xsi:type="dcterms:W3CDTF">2016-09-07T08:34:21Z</dcterms:modified>
  <dc:title>鄂教〔2001〕2号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